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DF6599" w:rsidRPr="00DF6599" w:rsidTr="00DF6599">
        <w:trPr>
          <w:tblCellSpacing w:w="0" w:type="dxa"/>
        </w:trPr>
        <w:tc>
          <w:tcPr>
            <w:tcW w:w="3348" w:type="dxa"/>
            <w:shd w:val="clear" w:color="auto" w:fill="FFFFFF"/>
            <w:tcMar>
              <w:top w:w="0" w:type="dxa"/>
              <w:left w:w="108" w:type="dxa"/>
              <w:bottom w:w="0" w:type="dxa"/>
              <w:right w:w="108" w:type="dxa"/>
            </w:tcMar>
            <w:hideMark/>
          </w:tcPr>
          <w:p w:rsidR="00DF6599" w:rsidRPr="00DF6599" w:rsidRDefault="00DF6599" w:rsidP="00DF6599">
            <w:pPr>
              <w:spacing w:before="120" w:after="120" w:line="234" w:lineRule="atLeast"/>
              <w:jc w:val="center"/>
              <w:rPr>
                <w:rFonts w:eastAsia="Times New Roman" w:cs="Times New Roman"/>
                <w:color w:val="000000"/>
                <w:sz w:val="18"/>
                <w:szCs w:val="18"/>
              </w:rPr>
            </w:pPr>
            <w:r w:rsidRPr="00DF6599">
              <w:rPr>
                <w:rFonts w:eastAsia="Times New Roman" w:cs="Times New Roman"/>
                <w:b/>
                <w:bCs/>
                <w:color w:val="000000"/>
                <w:sz w:val="18"/>
                <w:szCs w:val="18"/>
                <w:lang w:val="vi-VN"/>
              </w:rPr>
              <w:t>THỦ TƯỚNG CHÍNH PHỦ</w:t>
            </w:r>
            <w:r w:rsidRPr="00DF6599">
              <w:rPr>
                <w:rFonts w:eastAsia="Times New Roman" w:cs="Times New Roman"/>
                <w:b/>
                <w:bCs/>
                <w:color w:val="000000"/>
                <w:sz w:val="18"/>
                <w:szCs w:val="18"/>
                <w:lang w:val="vi-VN"/>
              </w:rPr>
              <w:br/>
              <w:t>-------</w:t>
            </w:r>
          </w:p>
        </w:tc>
        <w:tc>
          <w:tcPr>
            <w:tcW w:w="5508" w:type="dxa"/>
            <w:shd w:val="clear" w:color="auto" w:fill="FFFFFF"/>
            <w:tcMar>
              <w:top w:w="0" w:type="dxa"/>
              <w:left w:w="108" w:type="dxa"/>
              <w:bottom w:w="0" w:type="dxa"/>
              <w:right w:w="108" w:type="dxa"/>
            </w:tcMar>
            <w:hideMark/>
          </w:tcPr>
          <w:p w:rsidR="00DF6599" w:rsidRPr="00DF6599" w:rsidRDefault="00DF6599" w:rsidP="00DF6599">
            <w:pPr>
              <w:spacing w:before="120" w:after="120" w:line="234" w:lineRule="atLeast"/>
              <w:jc w:val="center"/>
              <w:rPr>
                <w:rFonts w:eastAsia="Times New Roman" w:cs="Times New Roman"/>
                <w:color w:val="000000"/>
                <w:sz w:val="18"/>
                <w:szCs w:val="18"/>
              </w:rPr>
            </w:pPr>
            <w:r w:rsidRPr="00DF6599">
              <w:rPr>
                <w:rFonts w:eastAsia="Times New Roman" w:cs="Times New Roman"/>
                <w:b/>
                <w:bCs/>
                <w:color w:val="000000"/>
                <w:sz w:val="18"/>
                <w:szCs w:val="18"/>
                <w:lang w:val="vi-VN"/>
              </w:rPr>
              <w:t>CỘNG HÒA XÃ HỘI CHỦ NGHĨA VIỆT NAM</w:t>
            </w:r>
            <w:r w:rsidRPr="00DF6599">
              <w:rPr>
                <w:rFonts w:eastAsia="Times New Roman" w:cs="Times New Roman"/>
                <w:b/>
                <w:bCs/>
                <w:color w:val="000000"/>
                <w:sz w:val="18"/>
                <w:szCs w:val="18"/>
                <w:lang w:val="vi-VN"/>
              </w:rPr>
              <w:br/>
              <w:t>Độc lập - Tự do - Hạnh phúc</w:t>
            </w:r>
            <w:r w:rsidRPr="00DF6599">
              <w:rPr>
                <w:rFonts w:eastAsia="Times New Roman" w:cs="Times New Roman"/>
                <w:b/>
                <w:bCs/>
                <w:color w:val="000000"/>
                <w:sz w:val="18"/>
                <w:szCs w:val="18"/>
                <w:lang w:val="vi-VN"/>
              </w:rPr>
              <w:br/>
              <w:t>---------------</w:t>
            </w:r>
          </w:p>
        </w:tc>
      </w:tr>
      <w:tr w:rsidR="00DF6599" w:rsidRPr="00DF6599" w:rsidTr="00DF6599">
        <w:trPr>
          <w:tblCellSpacing w:w="0" w:type="dxa"/>
        </w:trPr>
        <w:tc>
          <w:tcPr>
            <w:tcW w:w="3348" w:type="dxa"/>
            <w:shd w:val="clear" w:color="auto" w:fill="FFFFFF"/>
            <w:tcMar>
              <w:top w:w="0" w:type="dxa"/>
              <w:left w:w="108" w:type="dxa"/>
              <w:bottom w:w="0" w:type="dxa"/>
              <w:right w:w="108" w:type="dxa"/>
            </w:tcMar>
            <w:hideMark/>
          </w:tcPr>
          <w:p w:rsidR="00DF6599" w:rsidRPr="00DF6599" w:rsidRDefault="00DF6599" w:rsidP="00DF6599">
            <w:pPr>
              <w:spacing w:before="120" w:after="120" w:line="234" w:lineRule="atLeast"/>
              <w:jc w:val="center"/>
              <w:rPr>
                <w:rFonts w:eastAsia="Times New Roman" w:cs="Times New Roman"/>
                <w:color w:val="000000"/>
                <w:sz w:val="18"/>
                <w:szCs w:val="18"/>
              </w:rPr>
            </w:pPr>
            <w:r w:rsidRPr="00DF6599">
              <w:rPr>
                <w:rFonts w:eastAsia="Times New Roman" w:cs="Times New Roman"/>
                <w:color w:val="000000"/>
                <w:sz w:val="18"/>
                <w:szCs w:val="18"/>
                <w:lang w:val="vi-VN"/>
              </w:rPr>
              <w:t>Số: 1535/QĐ-TTg</w:t>
            </w:r>
          </w:p>
        </w:tc>
        <w:tc>
          <w:tcPr>
            <w:tcW w:w="5508" w:type="dxa"/>
            <w:shd w:val="clear" w:color="auto" w:fill="FFFFFF"/>
            <w:tcMar>
              <w:top w:w="0" w:type="dxa"/>
              <w:left w:w="108" w:type="dxa"/>
              <w:bottom w:w="0" w:type="dxa"/>
              <w:right w:w="108" w:type="dxa"/>
            </w:tcMar>
            <w:hideMark/>
          </w:tcPr>
          <w:p w:rsidR="00DF6599" w:rsidRPr="00DF6599" w:rsidRDefault="00DF6599" w:rsidP="00DF6599">
            <w:pPr>
              <w:spacing w:before="120" w:after="120" w:line="234" w:lineRule="atLeast"/>
              <w:jc w:val="center"/>
              <w:rPr>
                <w:rFonts w:eastAsia="Times New Roman" w:cs="Times New Roman"/>
                <w:color w:val="000000"/>
                <w:sz w:val="18"/>
                <w:szCs w:val="18"/>
              </w:rPr>
            </w:pPr>
            <w:r w:rsidRPr="00DF6599">
              <w:rPr>
                <w:rFonts w:eastAsia="Times New Roman" w:cs="Times New Roman"/>
                <w:i/>
                <w:iCs/>
                <w:color w:val="000000"/>
                <w:sz w:val="18"/>
                <w:szCs w:val="18"/>
                <w:lang w:val="vi-VN"/>
              </w:rPr>
              <w:t>Hà Nội, ngày 15 tháng 9 năm 2021</w:t>
            </w:r>
          </w:p>
        </w:tc>
      </w:tr>
    </w:tbl>
    <w:p w:rsidR="00DF6599" w:rsidRPr="00DF6599" w:rsidRDefault="00DF6599" w:rsidP="00DF6599">
      <w:pPr>
        <w:shd w:val="clear" w:color="auto" w:fill="FFFFFF"/>
        <w:spacing w:before="120" w:after="120" w:line="234" w:lineRule="atLeast"/>
        <w:rPr>
          <w:rFonts w:eastAsia="Times New Roman" w:cs="Times New Roman"/>
          <w:color w:val="000000"/>
          <w:sz w:val="18"/>
          <w:szCs w:val="18"/>
        </w:rPr>
      </w:pPr>
      <w:r w:rsidRPr="00DF6599">
        <w:rPr>
          <w:rFonts w:eastAsia="Times New Roman" w:cs="Times New Roman"/>
          <w:color w:val="000000"/>
          <w:sz w:val="18"/>
          <w:szCs w:val="18"/>
          <w:lang w:val="vi-VN"/>
        </w:rPr>
        <w:t> </w:t>
      </w:r>
    </w:p>
    <w:p w:rsidR="00DF6599" w:rsidRPr="00DF6599" w:rsidRDefault="00DF6599" w:rsidP="00DF6599">
      <w:pPr>
        <w:shd w:val="clear" w:color="auto" w:fill="FFFFFF"/>
        <w:spacing w:after="0" w:line="234" w:lineRule="atLeast"/>
        <w:jc w:val="center"/>
        <w:rPr>
          <w:rFonts w:eastAsia="Times New Roman" w:cs="Times New Roman"/>
          <w:color w:val="000000"/>
          <w:sz w:val="18"/>
          <w:szCs w:val="18"/>
        </w:rPr>
      </w:pPr>
      <w:bookmarkStart w:id="0" w:name="loai_1"/>
      <w:r w:rsidRPr="00DF6599">
        <w:rPr>
          <w:rFonts w:eastAsia="Times New Roman" w:cs="Times New Roman"/>
          <w:b/>
          <w:bCs/>
          <w:color w:val="000000"/>
          <w:sz w:val="24"/>
          <w:szCs w:val="24"/>
          <w:lang w:val="vi-VN"/>
        </w:rPr>
        <w:t>QUYẾT ĐỊNH</w:t>
      </w:r>
      <w:bookmarkEnd w:id="0"/>
    </w:p>
    <w:p w:rsidR="00DF6599" w:rsidRPr="00DF6599" w:rsidRDefault="00DF6599" w:rsidP="00DF6599">
      <w:pPr>
        <w:shd w:val="clear" w:color="auto" w:fill="FFFFFF"/>
        <w:spacing w:after="0" w:line="234" w:lineRule="atLeast"/>
        <w:jc w:val="center"/>
        <w:rPr>
          <w:rFonts w:eastAsia="Times New Roman" w:cs="Times New Roman"/>
          <w:color w:val="000000"/>
          <w:sz w:val="18"/>
          <w:szCs w:val="18"/>
        </w:rPr>
      </w:pPr>
      <w:bookmarkStart w:id="1" w:name="loai_1_name"/>
      <w:r w:rsidRPr="00DF6599">
        <w:rPr>
          <w:rFonts w:eastAsia="Times New Roman" w:cs="Times New Roman"/>
          <w:color w:val="000000"/>
          <w:sz w:val="18"/>
          <w:szCs w:val="18"/>
          <w:lang w:val="vi-VN"/>
        </w:rPr>
        <w:t>VỀ VIỆC GIAO KẾ HOẠCH ĐẦU TƯ CÔNG TRUNG HẠN VỐN NGÂN SÁCH NHÀ NƯỚC GIAI ĐOẠN 2021 - 2025</w:t>
      </w:r>
      <w:bookmarkEnd w:id="1"/>
    </w:p>
    <w:p w:rsidR="00DF6599" w:rsidRPr="00DF6599" w:rsidRDefault="00DF6599" w:rsidP="00DF6599">
      <w:pPr>
        <w:shd w:val="clear" w:color="auto" w:fill="FFFFFF"/>
        <w:spacing w:before="120" w:after="120" w:line="234" w:lineRule="atLeast"/>
        <w:jc w:val="center"/>
        <w:rPr>
          <w:rFonts w:eastAsia="Times New Roman" w:cs="Times New Roman"/>
          <w:color w:val="000000"/>
          <w:sz w:val="18"/>
          <w:szCs w:val="18"/>
        </w:rPr>
      </w:pPr>
      <w:r w:rsidRPr="00DF6599">
        <w:rPr>
          <w:rFonts w:eastAsia="Times New Roman" w:cs="Times New Roman"/>
          <w:b/>
          <w:bCs/>
          <w:color w:val="000000"/>
          <w:sz w:val="24"/>
          <w:szCs w:val="24"/>
          <w:lang w:val="vi-VN"/>
        </w:rPr>
        <w:t>THỦ TƯỚNG CHÍNH PHỦ</w:t>
      </w:r>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r w:rsidRPr="00DF6599">
        <w:rPr>
          <w:rFonts w:eastAsia="Times New Roman" w:cs="Times New Roman"/>
          <w:i/>
          <w:iCs/>
          <w:color w:val="000000"/>
          <w:szCs w:val="28"/>
          <w:lang w:val="vi-VN"/>
        </w:rPr>
        <w:t>Căn cứ Luật Tổ chức Chính phủ ngày 19 tháng 6 năm 2015; Luật sửa đổi bổ sung một số điều của Luật Tổ chức Chính phủ và Luật Tổ chức chính quyền địa phương ngày 22 tháng 11 năm 2019;</w:t>
      </w:r>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r w:rsidRPr="00DF6599">
        <w:rPr>
          <w:rFonts w:eastAsia="Times New Roman" w:cs="Times New Roman"/>
          <w:i/>
          <w:iCs/>
          <w:color w:val="000000"/>
          <w:szCs w:val="28"/>
          <w:lang w:val="vi-VN"/>
        </w:rPr>
        <w:t>Căn cứ Luật Đầu tư công ngày 13 tháng 6 năm 2019;</w:t>
      </w:r>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r w:rsidRPr="00DF6599">
        <w:rPr>
          <w:rFonts w:eastAsia="Times New Roman" w:cs="Times New Roman"/>
          <w:i/>
          <w:iCs/>
          <w:color w:val="000000"/>
          <w:szCs w:val="28"/>
          <w:lang w:val="vi-VN"/>
        </w:rPr>
        <w:t>Căn cứ Nghị quyết của Quốc hội số 29/2021/QH15 ngày 28 tháng 7 năm 2021 của Quốc hội về Kế hoạch đầu tư công trung hạn giai đoạn 2021-2025;</w:t>
      </w:r>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r w:rsidRPr="00DF6599">
        <w:rPr>
          <w:rFonts w:eastAsia="Times New Roman" w:cs="Times New Roman"/>
          <w:i/>
          <w:iCs/>
          <w:color w:val="000000"/>
          <w:szCs w:val="28"/>
          <w:lang w:val="vi-VN"/>
        </w:rPr>
        <w:t>Xét đề nghị của Bộ trưởng Bộ Kế hoạch và Đầu tư tại Tờ trình số 5415/TTr-BKHĐT ngày 17 tháng 8 năm 2021, văn bản số 5868/BKHĐT-TH ngày 01 tháng 9 năm 2021, văn bản số 6005/BKHĐT-TH ngày 07 tháng 9 năm 2021, văn bản số 6181/BKHĐT-TH ngày 14 tháng 9 năm 2021,</w:t>
      </w:r>
    </w:p>
    <w:p w:rsidR="00DF6599" w:rsidRPr="00DF6599" w:rsidRDefault="00DF6599" w:rsidP="00DF6599">
      <w:pPr>
        <w:shd w:val="clear" w:color="auto" w:fill="FFFFFF"/>
        <w:spacing w:before="120" w:after="120" w:line="240" w:lineRule="auto"/>
        <w:ind w:firstLine="567"/>
        <w:jc w:val="center"/>
        <w:rPr>
          <w:rFonts w:eastAsia="Times New Roman" w:cs="Times New Roman"/>
          <w:color w:val="000000"/>
          <w:szCs w:val="28"/>
        </w:rPr>
      </w:pPr>
      <w:r w:rsidRPr="00DF6599">
        <w:rPr>
          <w:rFonts w:eastAsia="Times New Roman" w:cs="Times New Roman"/>
          <w:b/>
          <w:bCs/>
          <w:color w:val="000000"/>
          <w:szCs w:val="28"/>
          <w:lang w:val="vi-VN"/>
        </w:rPr>
        <w:t>QUYẾT ĐỊNH:</w:t>
      </w:r>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bookmarkStart w:id="2" w:name="dieu_1"/>
      <w:r w:rsidRPr="00DF6599">
        <w:rPr>
          <w:rFonts w:eastAsia="Times New Roman" w:cs="Times New Roman"/>
          <w:b/>
          <w:bCs/>
          <w:color w:val="000000"/>
          <w:szCs w:val="28"/>
          <w:lang w:val="vi-VN"/>
        </w:rPr>
        <w:t>Điều 1.</w:t>
      </w:r>
      <w:bookmarkEnd w:id="2"/>
      <w:r w:rsidRPr="00DF6599">
        <w:rPr>
          <w:rFonts w:eastAsia="Times New Roman" w:cs="Times New Roman"/>
          <w:color w:val="000000"/>
          <w:szCs w:val="28"/>
          <w:lang w:val="vi-VN"/>
        </w:rPr>
        <w:t> </w:t>
      </w:r>
      <w:bookmarkStart w:id="3" w:name="dieu_1_name"/>
      <w:r w:rsidRPr="00DF6599">
        <w:rPr>
          <w:rFonts w:eastAsia="Times New Roman" w:cs="Times New Roman"/>
          <w:color w:val="000000"/>
          <w:szCs w:val="28"/>
          <w:lang w:val="vi-VN"/>
        </w:rPr>
        <w:t>Giao kế hoạch đầu tư công trung hạn vốn ngân sách nhà nước giai đoạn 2021 - 2025</w:t>
      </w:r>
      <w:bookmarkEnd w:id="3"/>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r w:rsidRPr="00DF6599">
        <w:rPr>
          <w:rFonts w:eastAsia="Times New Roman" w:cs="Times New Roman"/>
          <w:color w:val="000000"/>
          <w:szCs w:val="28"/>
          <w:lang w:val="vi-VN"/>
        </w:rPr>
        <w:t>1. Giao kế hoạch đầu tư trung hạn vốn ngân sách nhà nước giai đoạn 2021 - 2025 cho các bộ, cơ quan ngang bộ, cơ quan thuộc Chính phủ, cơ quan khác ở Trung ương, Tập đoàn điện lực Việt Nam (sau đây gọi tắt là các bộ, cơ quan trung ương) và các tỉnh, thành phố trực thuộc Trung ương (sau đây gọi tắt là các địa phương) kế hoạch đầu tư vốn ngân sách nhà nước giai đoạn 2021 - 2025 tại các Phụ lục kèm theo.</w:t>
      </w:r>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r w:rsidRPr="00DF6599">
        <w:rPr>
          <w:rFonts w:eastAsia="Times New Roman" w:cs="Times New Roman"/>
          <w:color w:val="000000"/>
          <w:szCs w:val="28"/>
          <w:lang w:val="vi-VN"/>
        </w:rPr>
        <w:t>2. Giao danh mục, mức vốn ngân sách trung ương bố trí kế hoạch đầu tư trung hạn giai đoạn 2021 - 2025 cho từng dự án, nhiệm vụ quy hoạch, nhiệm vụ chuẩn bị đầu tư, cấp bù chênh lệch lãi suất và phí quản lý, cấp vốn điều lệ cho ngân hàng chính sách và các quỹ tài chính nhà nước ngoài ngân sách tại các Phụ lục kèm theo.</w:t>
      </w:r>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bookmarkStart w:id="4" w:name="dieu_2"/>
      <w:r w:rsidRPr="00DF6599">
        <w:rPr>
          <w:rFonts w:eastAsia="Times New Roman" w:cs="Times New Roman"/>
          <w:b/>
          <w:bCs/>
          <w:color w:val="000000"/>
          <w:szCs w:val="28"/>
          <w:lang w:val="vi-VN"/>
        </w:rPr>
        <w:t>Điều 2.</w:t>
      </w:r>
      <w:bookmarkEnd w:id="4"/>
      <w:r w:rsidRPr="00DF6599">
        <w:rPr>
          <w:rFonts w:eastAsia="Times New Roman" w:cs="Times New Roman"/>
          <w:color w:val="000000"/>
          <w:szCs w:val="28"/>
          <w:lang w:val="vi-VN"/>
        </w:rPr>
        <w:t> </w:t>
      </w:r>
      <w:bookmarkStart w:id="5" w:name="dieu_2_name"/>
      <w:r w:rsidRPr="00DF6599">
        <w:rPr>
          <w:rFonts w:eastAsia="Times New Roman" w:cs="Times New Roman"/>
          <w:color w:val="000000"/>
          <w:szCs w:val="28"/>
          <w:lang w:val="vi-VN"/>
        </w:rPr>
        <w:t>Triển khai thực hiện kế hoạch đầu tư công trung hạn vốn ngân sách nhà nước giai đoạn 2021 - 2025</w:t>
      </w:r>
      <w:bookmarkEnd w:id="5"/>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r w:rsidRPr="00DF6599">
        <w:rPr>
          <w:rFonts w:eastAsia="Times New Roman" w:cs="Times New Roman"/>
          <w:color w:val="000000"/>
          <w:szCs w:val="28"/>
          <w:lang w:val="vi-VN"/>
        </w:rPr>
        <w:t>1. Các bộ, cơ quan trung ương và các địa phương căn cứ kế hoạch đầu tư trung hạn vốn ngân sách nhà nước giai đoạn 2021 - 2025, danh mục dự án và mức vốn ngân sách trung ương trong kế hoạch đầu tư trung hạn giai đoạn 2021 - 2025 được giao tại Điều 1 Quyết định này:</w:t>
      </w:r>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r w:rsidRPr="00DF6599">
        <w:rPr>
          <w:rFonts w:eastAsia="Times New Roman" w:cs="Times New Roman"/>
          <w:color w:val="000000"/>
          <w:szCs w:val="28"/>
          <w:lang w:val="vi-VN"/>
        </w:rPr>
        <w:t xml:space="preserve">a) Thông báo hoặc quyết định giao kế hoạch đầu tư trung hạn giai đoạn 2021 - 2025 cho các cơ quan, đơn vị sử dụng vốn đầu tư công chi tiết danh mục dự án </w:t>
      </w:r>
      <w:r w:rsidRPr="00DF6599">
        <w:rPr>
          <w:rFonts w:eastAsia="Times New Roman" w:cs="Times New Roman"/>
          <w:color w:val="000000"/>
          <w:szCs w:val="28"/>
          <w:lang w:val="vi-VN"/>
        </w:rPr>
        <w:lastRenderedPageBreak/>
        <w:t>và mức vốn ngân sách trung ương bố trí cho từng dự án, nhiệm vụ theo quy định bảo đảm phù hợp với các quy định của pháp luật về đầu tư công.</w:t>
      </w:r>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r w:rsidRPr="00DF6599">
        <w:rPr>
          <w:rFonts w:eastAsia="Times New Roman" w:cs="Times New Roman"/>
          <w:color w:val="000000"/>
          <w:szCs w:val="28"/>
          <w:lang w:val="vi-VN"/>
        </w:rPr>
        <w:t>b) Sử dụng, huy động các nguồn vốn khác để đầu tư hoàn thành đúng tiến độ, bảo đảm chất lượng các dự án chưa bố trí đủ vốn ngân sách trung ương trong tổng mức đầu tư được duyệt, chưa rõ cơ cấu nguồn vốn trong chủ trương đầu tư hoặc quyết định đầu tư được cấp có thẩm quyền phê duyệt, các dự án trọng điểm, có tính kết nối, liên vùng chưa bố trí vốn ngân sách địa phương. Không đề xuất bổ sung thêm vốn ngân sách trung ương ngoài số vốn ngân sách trung ương đã được giao cho bộ, cơ quan trung ương, địa phương trong kế hoạch đầu tư công trung hạn giai đoạn 2021 - 2025 để đầu tư cho các dự án này.</w:t>
      </w:r>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r w:rsidRPr="00DF6599">
        <w:rPr>
          <w:rFonts w:eastAsia="Times New Roman" w:cs="Times New Roman"/>
          <w:color w:val="000000"/>
          <w:szCs w:val="28"/>
          <w:lang w:val="vi-VN"/>
        </w:rPr>
        <w:t>c) Chủ động đề xuất sử dụng vốn ngân sách trung ương đã được giao kế hoạch (không bao gồm số vốn ngân sách trung ương đã bố trí để thu hồi vốn ứng trước cho danh mục dự án kèm theo Quyết định này, dự án quan trọng quốc gia, dự án trọng điểm, dự án có tính kết nối, liên vùng, đường ven biển) và nguồn vốn hợp pháp để bố trí thu hồi toàn bộ số vốn ứng trước của danh mục dự án chưa được tổng h</w:t>
      </w:r>
      <w:r w:rsidRPr="00DF6599">
        <w:rPr>
          <w:rFonts w:eastAsia="Times New Roman" w:cs="Times New Roman"/>
          <w:color w:val="000000"/>
          <w:szCs w:val="28"/>
        </w:rPr>
        <w:t>ợ</w:t>
      </w:r>
      <w:r w:rsidRPr="00DF6599">
        <w:rPr>
          <w:rFonts w:eastAsia="Times New Roman" w:cs="Times New Roman"/>
          <w:color w:val="000000"/>
          <w:szCs w:val="28"/>
          <w:lang w:val="vi-VN"/>
        </w:rPr>
        <w:t>p, báo cáo trong kế hoạch đầu tư công trung hạn giai đoạn 2016 - 2020 và không được cấp có thẩm quyền cho phép hoãn ứng trước (nếu có).</w:t>
      </w:r>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r w:rsidRPr="00DF6599">
        <w:rPr>
          <w:rFonts w:eastAsia="Times New Roman" w:cs="Times New Roman"/>
          <w:color w:val="000000"/>
          <w:szCs w:val="28"/>
          <w:lang w:val="vi-VN"/>
        </w:rPr>
        <w:t>d) Căn cứ khả năng cân đối vốn hằng năm, ưu tiên bố trí đủ vốn cho các dự án chuyển tiếp; chi bố trí vốn cho các dự án khởi công mới sau khi đã bố trí đủ vốn cho các dự án chuyển tiếp đã quá thời hạn bố trí vốn theo quy định nhằm hoàn thành sớm các dự án này, phát huy hiệu quả đầu tư, giảm tối đa thời gian bố trí vốn của dự án.</w:t>
      </w:r>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r w:rsidRPr="00DF6599">
        <w:rPr>
          <w:rFonts w:eastAsia="Times New Roman" w:cs="Times New Roman"/>
          <w:color w:val="000000"/>
          <w:szCs w:val="28"/>
          <w:lang w:val="vi-VN"/>
        </w:rPr>
        <w:t>đ) Khẩn trương thực hiện giao kế hoạch đầu tư vốn ngân sách trung ương năm 2021 trước ngày 30 tháng 9 năm 2021 cho các dự án khởi công mới, nhiệm vụ chuẩn bị đầu tư, nhiệm vụ quy hoạch đã hoàn thiện thủ tục đầu tư theo quy định; điều chỉnh lại kế hoạch đầu tư vốn ngân sách trung ương năm 2021 đối với các dự án chưa được Thủ tướng Chính phủ giao kế hoạch đầu tư trung hạn giai đoạn 2021 - 2025.</w:t>
      </w:r>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r w:rsidRPr="00DF6599">
        <w:rPr>
          <w:rFonts w:eastAsia="Times New Roman" w:cs="Times New Roman"/>
          <w:color w:val="000000"/>
          <w:szCs w:val="28"/>
          <w:lang w:val="vi-VN"/>
        </w:rPr>
        <w:t>e) Tiếp tục hoàn thiện thủ tục đầu tư các dự án khởi công mới dự kiến bố trí kế hoạch đầu tư trung hạn giai đoạn 2021 - 2025 theo quy định, gửi Bộ Kế hoạch và Đầu tư, Bộ Tài chính; trên cơ sở đó, Bộ Kế hoạch và Đầu tư chủ trì, phối hợp với Bộ Tài chính tổng hợp, báo cáo Thủ tướng Chính phủ, Chính phủ và trình Ủy ban Thường vụ Quốc hội cho ý kiến theo quy định tại Nghị quyết số 29/2021/QH15 của Quốc hội.</w:t>
      </w:r>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r w:rsidRPr="00DF6599">
        <w:rPr>
          <w:rFonts w:eastAsia="Times New Roman" w:cs="Times New Roman"/>
          <w:color w:val="000000"/>
          <w:szCs w:val="28"/>
          <w:lang w:val="vi-VN"/>
        </w:rPr>
        <w:t>g) Chịu trách nhiệm trước Thủ tướng Chính phủ, các cơ quan thanh tra, kiểm tra, kiểm toán và cơ quan liên quan về tính chính xác của các nội dung, số liệu báo cáo, danh mục dự án và mức vốn bố trí cho từng dự án bảo đảm đúng quy định của pháp luật.</w:t>
      </w:r>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r w:rsidRPr="00DF6599">
        <w:rPr>
          <w:rFonts w:eastAsia="Times New Roman" w:cs="Times New Roman"/>
          <w:color w:val="000000"/>
          <w:szCs w:val="28"/>
          <w:lang w:val="vi-VN"/>
        </w:rPr>
        <w:t>2. Giao Bộ Kế hoạch và Đầu tư:</w:t>
      </w:r>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r w:rsidRPr="00DF6599">
        <w:rPr>
          <w:rFonts w:eastAsia="Times New Roman" w:cs="Times New Roman"/>
          <w:color w:val="000000"/>
          <w:szCs w:val="28"/>
          <w:lang w:val="vi-VN"/>
        </w:rPr>
        <w:t>a) Hướng dẫn các bộ, cơ quan trung ương và các địa phương triển khai thực hiện kế hoạch đầu tư công trung hạn giai đoạn 2021 - 2025 theo quy định Luật Đầu tư công và Luật Ngân sách nhà nước.</w:t>
      </w:r>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r w:rsidRPr="00DF6599">
        <w:rPr>
          <w:rFonts w:eastAsia="Times New Roman" w:cs="Times New Roman"/>
          <w:color w:val="000000"/>
          <w:szCs w:val="28"/>
          <w:lang w:val="vi-VN"/>
        </w:rPr>
        <w:lastRenderedPageBreak/>
        <w:t>b) Thông báo cho các bộ, cơ quan trung ương và địa phương danh mục các dự án cần hoàn thiện trước khi giao kế hoạch đầu tư vốn ngân sách trung ương hằng năm, gồm:</w:t>
      </w:r>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r w:rsidRPr="00DF6599">
        <w:rPr>
          <w:rFonts w:eastAsia="Times New Roman" w:cs="Times New Roman"/>
          <w:color w:val="000000"/>
          <w:szCs w:val="28"/>
          <w:lang w:val="vi-VN"/>
        </w:rPr>
        <w:t>- Danh mục dự án cần phải điều chỉnh quyết định chủ trương đầu tư, quyết định đầu tư, trong đó vốn ngân sách trung ương phải phù hợp với mức vốn được giao trong kế hoạch đầu tư trung hạn giai đoạn 2021 - 2025.</w:t>
      </w:r>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r w:rsidRPr="00DF6599">
        <w:rPr>
          <w:rFonts w:eastAsia="Times New Roman" w:cs="Times New Roman"/>
          <w:color w:val="000000"/>
          <w:szCs w:val="28"/>
          <w:lang w:val="vi-VN"/>
        </w:rPr>
        <w:t>- Danh mục dự án khởi công mới có tính kết nối, liên vùng phải bố trí ngân sách địa phương và các nguồn vốn hợp pháp khác để thực hiện nhiệm vụ đền bù, giải phóng mặt bằng và phần còn thiếu so với tổng mức đầu tư được duyệt của dự án để hoàn thành, phát huy hiệu quả đầu tư của dự án.</w:t>
      </w:r>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r w:rsidRPr="00DF6599">
        <w:rPr>
          <w:rFonts w:eastAsia="Times New Roman" w:cs="Times New Roman"/>
          <w:color w:val="000000"/>
          <w:szCs w:val="28"/>
          <w:lang w:val="vi-VN"/>
        </w:rPr>
        <w:t>c) Kiểm tra chặt chẽ việc thực hiện cam kết của các bộ, cơ quan trung ương và địa phương đối với việc triển khai, hoàn thành dự án theo đúng tiến độ, bảo đảm chất lượng và phát huy hiệu quả đầu tư, không để xảy ra nợ đọng xây dựng cơ bản. Kiến nghị thu hồi vốn ngân sách trung ương đã bố trí đối với các dự án không thực hiện rà soát, điều chỉnh theo yêu cầu tại điểm b khoản 2 Điều này. Kiểm soát chặt chẽ số lượng dự án khởi công mới, bảo đảm tổng số dự án được bố trí vốn trong giai đoạn 2021 - 2025 dưới 5.000 dự án và thời gian bố trí vốn hoàn thành dự án theo đúng quy định của Luật Đầu tư công.</w:t>
      </w:r>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r w:rsidRPr="00DF6599">
        <w:rPr>
          <w:rFonts w:eastAsia="Times New Roman" w:cs="Times New Roman"/>
          <w:color w:val="000000"/>
          <w:szCs w:val="28"/>
          <w:lang w:val="vi-VN"/>
        </w:rPr>
        <w:t>3. Các Bộ: Kế hoạch và Đầu tư, Tài chính căn cứ chức năng, nhiệm vụ được giao về quản lý nhà nước đối với đầu tư công chịu trách nhiệm trước Thủ tướng Chính phủ, các cơ quan thanh tra, kiểm tra, kiểm toán và cơ quan liên quan tính chính xác của các nội dung, số liệu báo cáo, bảo đảm đúng quy định của pháp luật.</w:t>
      </w:r>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bookmarkStart w:id="6" w:name="dieu_3"/>
      <w:r w:rsidRPr="00DF6599">
        <w:rPr>
          <w:rFonts w:eastAsia="Times New Roman" w:cs="Times New Roman"/>
          <w:b/>
          <w:bCs/>
          <w:color w:val="000000"/>
          <w:szCs w:val="28"/>
          <w:lang w:val="vi-VN"/>
        </w:rPr>
        <w:t>Điều 3.</w:t>
      </w:r>
      <w:bookmarkEnd w:id="6"/>
      <w:r w:rsidRPr="00DF6599">
        <w:rPr>
          <w:rFonts w:eastAsia="Times New Roman" w:cs="Times New Roman"/>
          <w:color w:val="000000"/>
          <w:szCs w:val="28"/>
          <w:lang w:val="vi-VN"/>
        </w:rPr>
        <w:t> </w:t>
      </w:r>
      <w:bookmarkStart w:id="7" w:name="dieu_3_name"/>
      <w:r w:rsidRPr="00DF6599">
        <w:rPr>
          <w:rFonts w:eastAsia="Times New Roman" w:cs="Times New Roman"/>
          <w:color w:val="000000"/>
          <w:szCs w:val="28"/>
          <w:lang w:val="vi-VN"/>
        </w:rPr>
        <w:t>Giao kế hoạch đầu tư trung hạn vốn cân đối ngân sách địa phương giai đoạn 2021 - 2025</w:t>
      </w:r>
      <w:bookmarkEnd w:id="7"/>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r w:rsidRPr="00DF6599">
        <w:rPr>
          <w:rFonts w:eastAsia="Times New Roman" w:cs="Times New Roman"/>
          <w:color w:val="000000"/>
          <w:szCs w:val="28"/>
          <w:lang w:val="vi-VN"/>
        </w:rPr>
        <w:t>1. Ủy ban nhân dân các t</w:t>
      </w:r>
      <w:r w:rsidRPr="00DF6599">
        <w:rPr>
          <w:rFonts w:eastAsia="Times New Roman" w:cs="Times New Roman"/>
          <w:color w:val="000000"/>
          <w:szCs w:val="28"/>
        </w:rPr>
        <w:t>ỉ</w:t>
      </w:r>
      <w:r w:rsidRPr="00DF6599">
        <w:rPr>
          <w:rFonts w:eastAsia="Times New Roman" w:cs="Times New Roman"/>
          <w:color w:val="000000"/>
          <w:szCs w:val="28"/>
          <w:lang w:val="vi-VN"/>
        </w:rPr>
        <w:t>nh, thành phố trực thuộc Trung ương báo cáo Hội đồng nhân dân cùng cấp phân bổ và giao kế hoạch đầu tư trung hạn vốn cân đối ngân sách địa phương bảo đảm các nguyên tắc, tiêu chí như sau:</w:t>
      </w:r>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r w:rsidRPr="00DF6599">
        <w:rPr>
          <w:rFonts w:eastAsia="Times New Roman" w:cs="Times New Roman"/>
          <w:color w:val="000000"/>
          <w:szCs w:val="28"/>
          <w:lang w:val="vi-VN"/>
        </w:rPr>
        <w:t>a) Việc phân bổ vốn phải phục vụ cho việc thực hiện các mục tiêu, định hướng phát triển tại Chiến lược phát triển kinh tế - xã hội 10 năm 2021 - 2030; Kế hoạch phát triển kinh tế - xã hội 5 năm 2021 - 2025 của quốc gia, ngành, lĩnh vực, địa phương; quy hoạch tỉnh, vùng, ngành đã được cấp có thẩm quyền phê duyệt.</w:t>
      </w:r>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r w:rsidRPr="00DF6599">
        <w:rPr>
          <w:rFonts w:eastAsia="Times New Roman" w:cs="Times New Roman"/>
          <w:color w:val="000000"/>
          <w:szCs w:val="28"/>
          <w:lang w:val="vi-VN"/>
        </w:rPr>
        <w:t>b) Việc phân bổ vốn phải bảo đảm tuân thủ các quy định, nguyên tắc, thứ tự ưu tiên của Luật Đầu tư công, Luật Ngân sách nhà nước, Nghị quyết số 29/2021/QH15 ngày 28 tháng 7 năm 2021 của Quốc hội, Nghị quyết số 973/2020/UBTVQH14 ngày 08 tháng 7 năm 2020 của Ủy ban thường vụ Quốc hội về các nguyên tắc, tiêu chí và định mức phân bổ vốn đầu tư công nguồn ngân sách nhà nước giai đoạn 2021 - 2025, Quvết định số </w:t>
      </w:r>
      <w:hyperlink r:id="rId4" w:tgtFrame="_blank" w:tooltip="Quyết định 26/2020/QĐ-TTg" w:history="1">
        <w:r w:rsidRPr="00DF6599">
          <w:rPr>
            <w:rFonts w:eastAsia="Times New Roman" w:cs="Times New Roman"/>
            <w:color w:val="0E70C3"/>
            <w:szCs w:val="28"/>
            <w:u w:val="single"/>
            <w:lang w:val="vi-VN"/>
          </w:rPr>
          <w:t>26/2020/QĐ-TTg</w:t>
        </w:r>
      </w:hyperlink>
      <w:r w:rsidRPr="00DF6599">
        <w:rPr>
          <w:rFonts w:eastAsia="Times New Roman" w:cs="Times New Roman"/>
          <w:color w:val="000000"/>
          <w:szCs w:val="28"/>
          <w:lang w:val="vi-VN"/>
        </w:rPr>
        <w:t> ngày 14 tháng 9 năm 2020 của Thủ tướng Chính phủ và các văn bản liên quan.</w:t>
      </w:r>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r w:rsidRPr="00DF6599">
        <w:rPr>
          <w:rFonts w:eastAsia="Times New Roman" w:cs="Times New Roman"/>
          <w:color w:val="000000"/>
          <w:szCs w:val="28"/>
          <w:lang w:val="vi-VN"/>
        </w:rPr>
        <w:lastRenderedPageBreak/>
        <w:t>c) Bám sát mục tiêu cơ cấu lại đầu tư công, huy động tối đa nguồn lực ngoài ngân sách nhà nước, thực hiện hiệu quả Luật Đầu tư theo phương thức đối tác công tư; cơ cấu lại nền kinh tế, các đột phá chiến lược; bố trí vốn tập trung, có trọng tâm, trọng điểm, khắc phục triệt để tình trạng phân tán, dàn trải, kéo dài; giảm tối đa các dự án khởi công mới và kiểm soát chặt chẽ thời gian bố trí vốn hoàn thành dự án theo đúng quy định của Luật Đầu tư công.</w:t>
      </w:r>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r w:rsidRPr="00DF6599">
        <w:rPr>
          <w:rFonts w:eastAsia="Times New Roman" w:cs="Times New Roman"/>
          <w:color w:val="000000"/>
          <w:szCs w:val="28"/>
          <w:lang w:val="vi-VN"/>
        </w:rPr>
        <w:t>d) Quản lý tập trung, thống nhất về mục tiêu, cơ chế, chính sách; đẩy mạnh phân cấp trong quản lý đầu tư công, tập trung đầu tư các nhiệm vụ, chương trình, dự án thuộc ngành, lĩnh vực ưu tiên; tuân thủ thứ tự bố trí vốn theo quy định của pháp luật; bảo đảm công khai, minh bạch, khách quan; kiên quyết xóa bỏ “cơ chế xin cho”, chống tiêu cực, tham nhũng, lợi ích nhóm và thực hiện phương châm “lấy đầu tư công dẫn dắt đầu tư tư”.</w:t>
      </w:r>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r w:rsidRPr="00DF6599">
        <w:rPr>
          <w:rFonts w:eastAsia="Times New Roman" w:cs="Times New Roman"/>
          <w:color w:val="000000"/>
          <w:szCs w:val="28"/>
          <w:lang w:val="vi-VN"/>
        </w:rPr>
        <w:t>đ) Các địa phương được bố trí vốn ngân sách trung ương giai đoạn 2021 - 2025 phải cam kết bố trí phần vốn còn thiếu từ nguồn ngân sách địa phương và các nguồn vốn hợp pháp khác để hoàn thành dự án đúng tiến độ. Trong trường hợp điều chỉnh tăng tổng mức đầu tư của dự án so với tổng mức đầu tư đã được cấp có thẩm quyền giao kế hoạch đầu tư trung hạn, địa phương phải tự cân đối vốn để hoàn thành dự án đúng tiến độ, bảo đảm chất lượng.</w:t>
      </w:r>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r w:rsidRPr="00DF6599">
        <w:rPr>
          <w:rFonts w:eastAsia="Times New Roman" w:cs="Times New Roman"/>
          <w:color w:val="000000"/>
          <w:szCs w:val="28"/>
          <w:lang w:val="vi-VN"/>
        </w:rPr>
        <w:t>2. Các địa phương được giao kế hoạch đầu tư công hằng năm nguồn vốn trong cân đối ngân sách địa phương trên cơ sở khả năng thu thực tế, bảo đảm không tăng mức bội chi của ngân sách địa phương hằng năm.</w:t>
      </w:r>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bookmarkStart w:id="8" w:name="dieu_4"/>
      <w:r w:rsidRPr="00DF6599">
        <w:rPr>
          <w:rFonts w:eastAsia="Times New Roman" w:cs="Times New Roman"/>
          <w:b/>
          <w:bCs/>
          <w:color w:val="000000"/>
          <w:szCs w:val="28"/>
          <w:lang w:val="vi-VN"/>
        </w:rPr>
        <w:t>Điều 4.</w:t>
      </w:r>
      <w:bookmarkEnd w:id="8"/>
      <w:r w:rsidRPr="00DF6599">
        <w:rPr>
          <w:rFonts w:eastAsia="Times New Roman" w:cs="Times New Roman"/>
          <w:color w:val="000000"/>
          <w:szCs w:val="28"/>
          <w:lang w:val="vi-VN"/>
        </w:rPr>
        <w:t> </w:t>
      </w:r>
      <w:bookmarkStart w:id="9" w:name="dieu_4_name"/>
      <w:r w:rsidRPr="00DF6599">
        <w:rPr>
          <w:rFonts w:eastAsia="Times New Roman" w:cs="Times New Roman"/>
          <w:color w:val="000000"/>
          <w:szCs w:val="28"/>
          <w:lang w:val="vi-VN"/>
        </w:rPr>
        <w:t>Thời hạn báo cáo kết quả thực hiện và giải ngân kế hoạch đầu tư công trung hạn giai đoạn 2021 - 2025</w:t>
      </w:r>
      <w:bookmarkEnd w:id="9"/>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r w:rsidRPr="00DF6599">
        <w:rPr>
          <w:rFonts w:eastAsia="Times New Roman" w:cs="Times New Roman"/>
          <w:color w:val="000000"/>
          <w:szCs w:val="28"/>
          <w:lang w:val="vi-VN"/>
        </w:rPr>
        <w:t>1. Báo cáo việc thông báo hoặc quyết định giao kế hoạch đầu tư trung hạn giai đoạn 2021 - 2025 vốn ngân sách trung ương cho các cơ quan, đơn vị sử dụng vốn đầu tư công về Bộ Kế hoạch và Đầu tư, Bộ Tài chính trước ngày 30 tháng 9 năm 2021.</w:t>
      </w:r>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r w:rsidRPr="00DF6599">
        <w:rPr>
          <w:rFonts w:eastAsia="Times New Roman" w:cs="Times New Roman"/>
          <w:color w:val="000000"/>
          <w:szCs w:val="28"/>
          <w:lang w:val="vi-VN"/>
        </w:rPr>
        <w:t>2. Thời gian thực hiện và giải ngân kế hoạch vốn ngân sách nhà nước giai đoạn 2021 - 2025 thực hiện theo quy định của Luật Đầu tư công, Nghị định số </w:t>
      </w:r>
      <w:hyperlink r:id="rId5" w:tgtFrame="_blank" w:tooltip="Nghị định 40/2020/NĐ-CP" w:history="1">
        <w:r w:rsidRPr="00DF6599">
          <w:rPr>
            <w:rFonts w:eastAsia="Times New Roman" w:cs="Times New Roman"/>
            <w:color w:val="0E70C3"/>
            <w:szCs w:val="28"/>
            <w:u w:val="single"/>
            <w:lang w:val="vi-VN"/>
          </w:rPr>
          <w:t>40/2020/NĐ-CP</w:t>
        </w:r>
      </w:hyperlink>
      <w:r w:rsidRPr="00DF6599">
        <w:rPr>
          <w:rFonts w:eastAsia="Times New Roman" w:cs="Times New Roman"/>
          <w:color w:val="000000"/>
          <w:szCs w:val="28"/>
          <w:lang w:val="vi-VN"/>
        </w:rPr>
        <w:t> ngày 06 tháng 4 năm 2020 của Chính phủ quy định chi tiết thi hành một số điều của Luật Đầu tư công, Nghị quyết của Chính phủ và chỉ đạo của Thủ tướng Chính phủ.</w:t>
      </w:r>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bookmarkStart w:id="10" w:name="dieu_5"/>
      <w:r w:rsidRPr="00DF6599">
        <w:rPr>
          <w:rFonts w:eastAsia="Times New Roman" w:cs="Times New Roman"/>
          <w:b/>
          <w:bCs/>
          <w:color w:val="000000"/>
          <w:szCs w:val="28"/>
          <w:lang w:val="vi-VN"/>
        </w:rPr>
        <w:t>Điều 5.</w:t>
      </w:r>
      <w:bookmarkEnd w:id="10"/>
      <w:r w:rsidRPr="00DF6599">
        <w:rPr>
          <w:rFonts w:eastAsia="Times New Roman" w:cs="Times New Roman"/>
          <w:color w:val="000000"/>
          <w:szCs w:val="28"/>
          <w:lang w:val="vi-VN"/>
        </w:rPr>
        <w:t> </w:t>
      </w:r>
      <w:bookmarkStart w:id="11" w:name="dieu_5_name"/>
      <w:r w:rsidRPr="00DF6599">
        <w:rPr>
          <w:rFonts w:eastAsia="Times New Roman" w:cs="Times New Roman"/>
          <w:color w:val="000000"/>
          <w:szCs w:val="28"/>
          <w:lang w:val="vi-VN"/>
        </w:rPr>
        <w:t>Kéo dài kế hoạch đầu tư vốn ngân sách trung ương</w:t>
      </w:r>
      <w:bookmarkEnd w:id="11"/>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r w:rsidRPr="00DF6599">
        <w:rPr>
          <w:rFonts w:eastAsia="Times New Roman" w:cs="Times New Roman"/>
          <w:color w:val="000000"/>
          <w:szCs w:val="28"/>
          <w:lang w:val="vi-VN"/>
        </w:rPr>
        <w:t>1. Thông báo danh mục dự án được kéo dài kế hoạch đầu tư vốn ngân sách trung ương năm 2017 và năm 2018 sang giai đoạn 2021 - 2025 với tổng số vốn là 4.118,884 tỷ đồng tại Phụ lục kèm theo. Thời gian thực hiện và giải ngân đến hết ngày 31 tháng 12 năm 2022. Quá thời hạn trên không giải ngân hết, thực hiện hủy kế hoạch và dự toán theo quy định.</w:t>
      </w:r>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r w:rsidRPr="00DF6599">
        <w:rPr>
          <w:rFonts w:eastAsia="Times New Roman" w:cs="Times New Roman"/>
          <w:color w:val="000000"/>
          <w:szCs w:val="28"/>
          <w:lang w:val="vi-VN"/>
        </w:rPr>
        <w:t>2. Giao Bộ Tài chính hướng dẫn thủ t</w:t>
      </w:r>
      <w:r w:rsidRPr="00DF6599">
        <w:rPr>
          <w:rFonts w:eastAsia="Times New Roman" w:cs="Times New Roman"/>
          <w:color w:val="000000"/>
          <w:szCs w:val="28"/>
        </w:rPr>
        <w:t>ụ</w:t>
      </w:r>
      <w:r w:rsidRPr="00DF6599">
        <w:rPr>
          <w:rFonts w:eastAsia="Times New Roman" w:cs="Times New Roman"/>
          <w:color w:val="000000"/>
          <w:szCs w:val="28"/>
          <w:lang w:val="vi-VN"/>
        </w:rPr>
        <w:t>c thanh toán kế hoạch đầu tư vốn ngân sách trung ương năm 2017, 2018 của các dự án.</w:t>
      </w:r>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bookmarkStart w:id="12" w:name="dieu_6"/>
      <w:r w:rsidRPr="00DF6599">
        <w:rPr>
          <w:rFonts w:eastAsia="Times New Roman" w:cs="Times New Roman"/>
          <w:b/>
          <w:bCs/>
          <w:color w:val="000000"/>
          <w:szCs w:val="28"/>
          <w:lang w:val="vi-VN"/>
        </w:rPr>
        <w:t>Điều 6.</w:t>
      </w:r>
      <w:bookmarkEnd w:id="12"/>
      <w:r w:rsidRPr="00DF6599">
        <w:rPr>
          <w:rFonts w:eastAsia="Times New Roman" w:cs="Times New Roman"/>
          <w:color w:val="000000"/>
          <w:szCs w:val="28"/>
          <w:lang w:val="vi-VN"/>
        </w:rPr>
        <w:t> </w:t>
      </w:r>
      <w:bookmarkStart w:id="13" w:name="dieu_6_name"/>
      <w:r w:rsidRPr="00DF6599">
        <w:rPr>
          <w:rFonts w:eastAsia="Times New Roman" w:cs="Times New Roman"/>
          <w:color w:val="000000"/>
          <w:szCs w:val="28"/>
          <w:lang w:val="vi-VN"/>
        </w:rPr>
        <w:t>Quyết định này có hiệu lực thi hành kể từ ngày ký.</w:t>
      </w:r>
      <w:bookmarkEnd w:id="13"/>
    </w:p>
    <w:p w:rsidR="00DF6599" w:rsidRPr="00DF6599" w:rsidRDefault="00DF6599" w:rsidP="00DF6599">
      <w:pPr>
        <w:shd w:val="clear" w:color="auto" w:fill="FFFFFF"/>
        <w:spacing w:before="120" w:after="120" w:line="240" w:lineRule="auto"/>
        <w:ind w:firstLine="567"/>
        <w:jc w:val="both"/>
        <w:rPr>
          <w:rFonts w:eastAsia="Times New Roman" w:cs="Times New Roman"/>
          <w:color w:val="000000"/>
          <w:szCs w:val="28"/>
        </w:rPr>
      </w:pPr>
      <w:bookmarkStart w:id="14" w:name="dieu_7"/>
      <w:r w:rsidRPr="00DF6599">
        <w:rPr>
          <w:rFonts w:eastAsia="Times New Roman" w:cs="Times New Roman"/>
          <w:b/>
          <w:bCs/>
          <w:color w:val="000000"/>
          <w:szCs w:val="28"/>
          <w:lang w:val="vi-VN"/>
        </w:rPr>
        <w:lastRenderedPageBreak/>
        <w:t>Điều 7.</w:t>
      </w:r>
      <w:bookmarkEnd w:id="14"/>
      <w:r w:rsidRPr="00DF6599">
        <w:rPr>
          <w:rFonts w:eastAsia="Times New Roman" w:cs="Times New Roman"/>
          <w:color w:val="000000"/>
          <w:szCs w:val="28"/>
          <w:lang w:val="vi-VN"/>
        </w:rPr>
        <w:t> </w:t>
      </w:r>
      <w:bookmarkStart w:id="15" w:name="dieu_7_name"/>
      <w:r w:rsidRPr="00DF6599">
        <w:rPr>
          <w:rFonts w:eastAsia="Times New Roman" w:cs="Times New Roman"/>
          <w:color w:val="000000"/>
          <w:szCs w:val="28"/>
          <w:lang w:val="vi-VN"/>
        </w:rPr>
        <w:t xml:space="preserve">Bộ trưởng, Thủ trưởng cơ quan ngang Bộ, Thủ trưởng cơ quan thuộc Chính phủ, cơ quan khác ở trung ương, Chủ tịch Ủy ban nhân dân </w:t>
      </w:r>
      <w:bookmarkStart w:id="16" w:name="_GoBack"/>
      <w:bookmarkEnd w:id="16"/>
      <w:r w:rsidRPr="00DF6599">
        <w:rPr>
          <w:rFonts w:eastAsia="Times New Roman" w:cs="Times New Roman"/>
          <w:color w:val="000000"/>
          <w:szCs w:val="28"/>
          <w:lang w:val="vi-VN"/>
        </w:rPr>
        <w:t>các tỉnh, thành phố trực thuộc trung ương và Thủ trưởng các cơ quan, đơn vị sử dụng vốn đầu tư công nguồn ngân sách nhà nước chịu trách nhiệm thi hành Quyết định này./.</w:t>
      </w:r>
      <w:bookmarkEnd w:id="15"/>
    </w:p>
    <w:p w:rsidR="00DF6599" w:rsidRPr="00DF6599" w:rsidRDefault="00DF6599" w:rsidP="00DF6599">
      <w:pPr>
        <w:shd w:val="clear" w:color="auto" w:fill="FFFFFF"/>
        <w:spacing w:before="120" w:after="120" w:line="234" w:lineRule="atLeast"/>
        <w:rPr>
          <w:rFonts w:ascii="Arial" w:eastAsia="Times New Roman" w:hAnsi="Arial" w:cs="Arial"/>
          <w:color w:val="000000"/>
          <w:sz w:val="18"/>
          <w:szCs w:val="18"/>
        </w:rPr>
      </w:pPr>
      <w:r w:rsidRPr="00DF6599">
        <w:rPr>
          <w:rFonts w:ascii="Arial" w:eastAsia="Times New Roman" w:hAnsi="Arial" w:cs="Arial"/>
          <w:color w:val="000000"/>
          <w:sz w:val="18"/>
          <w:szCs w:val="18"/>
          <w:lang w:val="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DF6599" w:rsidRPr="00DF6599" w:rsidTr="00DF6599">
        <w:trPr>
          <w:tblCellSpacing w:w="0" w:type="dxa"/>
        </w:trPr>
        <w:tc>
          <w:tcPr>
            <w:tcW w:w="4428" w:type="dxa"/>
            <w:shd w:val="clear" w:color="auto" w:fill="FFFFFF"/>
            <w:tcMar>
              <w:top w:w="0" w:type="dxa"/>
              <w:left w:w="108" w:type="dxa"/>
              <w:bottom w:w="0" w:type="dxa"/>
              <w:right w:w="108" w:type="dxa"/>
            </w:tcMar>
            <w:hideMark/>
          </w:tcPr>
          <w:p w:rsidR="00DF6599" w:rsidRPr="00DF6599" w:rsidRDefault="00DF6599" w:rsidP="00DF6599">
            <w:pPr>
              <w:spacing w:before="120" w:after="120" w:line="234" w:lineRule="atLeast"/>
              <w:rPr>
                <w:rFonts w:eastAsia="Times New Roman" w:cs="Times New Roman"/>
                <w:color w:val="000000"/>
                <w:sz w:val="18"/>
                <w:szCs w:val="18"/>
              </w:rPr>
            </w:pPr>
            <w:r w:rsidRPr="00DF6599">
              <w:rPr>
                <w:rFonts w:eastAsia="Times New Roman" w:cs="Times New Roman"/>
                <w:b/>
                <w:bCs/>
                <w:i/>
                <w:iCs/>
                <w:color w:val="000000"/>
                <w:sz w:val="18"/>
                <w:szCs w:val="18"/>
                <w:lang w:val="vi-VN"/>
              </w:rPr>
              <w:br/>
              <w:t>Nơi nhận:</w:t>
            </w:r>
            <w:r w:rsidRPr="00DF6599">
              <w:rPr>
                <w:rFonts w:eastAsia="Times New Roman" w:cs="Times New Roman"/>
                <w:b/>
                <w:bCs/>
                <w:i/>
                <w:iCs/>
                <w:color w:val="000000"/>
                <w:sz w:val="18"/>
                <w:szCs w:val="18"/>
                <w:lang w:val="vi-VN"/>
              </w:rPr>
              <w:br/>
            </w:r>
            <w:r w:rsidRPr="00DF6599">
              <w:rPr>
                <w:rFonts w:eastAsia="Times New Roman" w:cs="Times New Roman"/>
                <w:color w:val="000000"/>
                <w:sz w:val="16"/>
                <w:szCs w:val="16"/>
                <w:lang w:val="vi-VN"/>
              </w:rPr>
              <w:t>- Ban Bí thư Trung ương Đảng;</w:t>
            </w:r>
            <w:r w:rsidRPr="00DF6599">
              <w:rPr>
                <w:rFonts w:eastAsia="Times New Roman" w:cs="Times New Roman"/>
                <w:color w:val="000000"/>
                <w:sz w:val="16"/>
                <w:szCs w:val="16"/>
                <w:lang w:val="vi-VN"/>
              </w:rPr>
              <w:br/>
              <w:t>- Thủ tướng, các Phó Thủ tướng CP;</w:t>
            </w:r>
            <w:r w:rsidRPr="00DF6599">
              <w:rPr>
                <w:rFonts w:eastAsia="Times New Roman" w:cs="Times New Roman"/>
                <w:color w:val="000000"/>
                <w:sz w:val="16"/>
                <w:szCs w:val="16"/>
                <w:lang w:val="vi-VN"/>
              </w:rPr>
              <w:br/>
              <w:t>- Các bộ, cơ quan ngang bộ, cơ quan thuộc CP;</w:t>
            </w:r>
            <w:r w:rsidRPr="00DF6599">
              <w:rPr>
                <w:rFonts w:eastAsia="Times New Roman" w:cs="Times New Roman"/>
                <w:color w:val="000000"/>
                <w:sz w:val="16"/>
                <w:szCs w:val="16"/>
                <w:lang w:val="vi-VN"/>
              </w:rPr>
              <w:br/>
              <w:t>- HĐND, UBND các tỉnh, thành phố trực thuộc TW;</w:t>
            </w:r>
            <w:r w:rsidRPr="00DF6599">
              <w:rPr>
                <w:rFonts w:eastAsia="Times New Roman" w:cs="Times New Roman"/>
                <w:color w:val="000000"/>
                <w:sz w:val="16"/>
                <w:szCs w:val="16"/>
                <w:lang w:val="vi-VN"/>
              </w:rPr>
              <w:br/>
              <w:t>- Các Đoàn ĐBQH của các tỉnh, TP trực thuộc TW;</w:t>
            </w:r>
            <w:r w:rsidRPr="00DF6599">
              <w:rPr>
                <w:rFonts w:eastAsia="Times New Roman" w:cs="Times New Roman"/>
                <w:color w:val="000000"/>
                <w:sz w:val="16"/>
                <w:szCs w:val="16"/>
                <w:lang w:val="vi-VN"/>
              </w:rPr>
              <w:br/>
              <w:t>- Văn phòng Trung ương và các Ban của Đảng;</w:t>
            </w:r>
            <w:r w:rsidRPr="00DF6599">
              <w:rPr>
                <w:rFonts w:eastAsia="Times New Roman" w:cs="Times New Roman"/>
                <w:color w:val="000000"/>
                <w:sz w:val="16"/>
                <w:szCs w:val="16"/>
                <w:lang w:val="vi-VN"/>
              </w:rPr>
              <w:br/>
              <w:t>- Văn phòng Tổng Bí thư;</w:t>
            </w:r>
            <w:r w:rsidRPr="00DF6599">
              <w:rPr>
                <w:rFonts w:eastAsia="Times New Roman" w:cs="Times New Roman"/>
                <w:color w:val="000000"/>
                <w:sz w:val="16"/>
                <w:szCs w:val="16"/>
                <w:lang w:val="vi-VN"/>
              </w:rPr>
              <w:br/>
              <w:t>- Văn phòng Chủ tịch nước;</w:t>
            </w:r>
            <w:r w:rsidRPr="00DF6599">
              <w:rPr>
                <w:rFonts w:eastAsia="Times New Roman" w:cs="Times New Roman"/>
                <w:color w:val="000000"/>
                <w:sz w:val="16"/>
                <w:szCs w:val="16"/>
                <w:lang w:val="vi-VN"/>
              </w:rPr>
              <w:br/>
              <w:t>- Hội đồng Dân tộc và các Ủy ban của Quốc hội;</w:t>
            </w:r>
            <w:r w:rsidRPr="00DF6599">
              <w:rPr>
                <w:rFonts w:eastAsia="Times New Roman" w:cs="Times New Roman"/>
                <w:color w:val="000000"/>
                <w:sz w:val="16"/>
                <w:szCs w:val="16"/>
                <w:lang w:val="vi-VN"/>
              </w:rPr>
              <w:br/>
              <w:t>- Văn phòng Quốc hội;</w:t>
            </w:r>
            <w:r w:rsidRPr="00DF6599">
              <w:rPr>
                <w:rFonts w:eastAsia="Times New Roman" w:cs="Times New Roman"/>
                <w:color w:val="000000"/>
                <w:sz w:val="16"/>
                <w:szCs w:val="16"/>
                <w:lang w:val="vi-VN"/>
              </w:rPr>
              <w:br/>
              <w:t>- Tòa án nhân dân tối cao;</w:t>
            </w:r>
            <w:r w:rsidRPr="00DF6599">
              <w:rPr>
                <w:rFonts w:eastAsia="Times New Roman" w:cs="Times New Roman"/>
                <w:color w:val="000000"/>
                <w:sz w:val="16"/>
                <w:szCs w:val="16"/>
                <w:lang w:val="vi-VN"/>
              </w:rPr>
              <w:br/>
              <w:t>- Viện kiểm sát nhân dân tối cao;</w:t>
            </w:r>
            <w:r w:rsidRPr="00DF6599">
              <w:rPr>
                <w:rFonts w:eastAsia="Times New Roman" w:cs="Times New Roman"/>
                <w:color w:val="000000"/>
                <w:sz w:val="16"/>
                <w:szCs w:val="16"/>
                <w:lang w:val="vi-VN"/>
              </w:rPr>
              <w:br/>
              <w:t>- UBTW Mặt trận Tổ quốc Việt Nam;</w:t>
            </w:r>
            <w:r w:rsidRPr="00DF6599">
              <w:rPr>
                <w:rFonts w:eastAsia="Times New Roman" w:cs="Times New Roman"/>
                <w:color w:val="000000"/>
                <w:sz w:val="16"/>
                <w:szCs w:val="16"/>
                <w:lang w:val="vi-VN"/>
              </w:rPr>
              <w:br/>
              <w:t>- Kiểm toán Nhà nước;</w:t>
            </w:r>
            <w:r w:rsidRPr="00DF6599">
              <w:rPr>
                <w:rFonts w:eastAsia="Times New Roman" w:cs="Times New Roman"/>
                <w:color w:val="000000"/>
                <w:sz w:val="16"/>
                <w:szCs w:val="16"/>
                <w:lang w:val="vi-VN"/>
              </w:rPr>
              <w:br/>
              <w:t>- Cơ quan Trung ương của các đoàn thể;</w:t>
            </w:r>
            <w:r w:rsidRPr="00DF6599">
              <w:rPr>
                <w:rFonts w:eastAsia="Times New Roman" w:cs="Times New Roman"/>
                <w:color w:val="000000"/>
                <w:sz w:val="16"/>
                <w:szCs w:val="16"/>
                <w:lang w:val="vi-VN"/>
              </w:rPr>
              <w:br/>
              <w:t>- Ngân hàng Chính sách xã hội;</w:t>
            </w:r>
            <w:r w:rsidRPr="00DF6599">
              <w:rPr>
                <w:rFonts w:eastAsia="Times New Roman" w:cs="Times New Roman"/>
                <w:color w:val="000000"/>
                <w:sz w:val="16"/>
                <w:szCs w:val="16"/>
                <w:lang w:val="vi-VN"/>
              </w:rPr>
              <w:br/>
              <w:t>- Ngân hàng Phát triển Việt Nam;</w:t>
            </w:r>
            <w:r w:rsidRPr="00DF6599">
              <w:rPr>
                <w:rFonts w:eastAsia="Times New Roman" w:cs="Times New Roman"/>
                <w:color w:val="000000"/>
                <w:sz w:val="16"/>
                <w:szCs w:val="16"/>
                <w:lang w:val="vi-VN"/>
              </w:rPr>
              <w:br/>
              <w:t>- Tập đoàn Điện lực Việt Nam;</w:t>
            </w:r>
            <w:r w:rsidRPr="00DF6599">
              <w:rPr>
                <w:rFonts w:eastAsia="Times New Roman" w:cs="Times New Roman"/>
                <w:color w:val="000000"/>
                <w:sz w:val="16"/>
                <w:szCs w:val="16"/>
                <w:lang w:val="vi-VN"/>
              </w:rPr>
              <w:br/>
              <w:t>- Các cơ quan (phụ lục kèm theo);</w:t>
            </w:r>
            <w:r w:rsidRPr="00DF6599">
              <w:rPr>
                <w:rFonts w:eastAsia="Times New Roman" w:cs="Times New Roman"/>
                <w:color w:val="000000"/>
                <w:sz w:val="16"/>
                <w:szCs w:val="16"/>
                <w:lang w:val="vi-VN"/>
              </w:rPr>
              <w:br/>
              <w:t>- VPCP: BTCN, các PCN, Trợ lý TTg,</w:t>
            </w:r>
            <w:r w:rsidRPr="00DF6599">
              <w:rPr>
                <w:rFonts w:eastAsia="Times New Roman" w:cs="Times New Roman"/>
                <w:color w:val="000000"/>
                <w:sz w:val="16"/>
                <w:szCs w:val="16"/>
              </w:rPr>
              <w:br/>
            </w:r>
            <w:r w:rsidRPr="00DF6599">
              <w:rPr>
                <w:rFonts w:eastAsia="Times New Roman" w:cs="Times New Roman"/>
                <w:color w:val="000000"/>
                <w:sz w:val="16"/>
                <w:szCs w:val="16"/>
                <w:lang w:val="vi-VN"/>
              </w:rPr>
              <w:t>các Vụ, Cục, các đơn vị trực thuộc;</w:t>
            </w:r>
            <w:r w:rsidRPr="00DF6599">
              <w:rPr>
                <w:rFonts w:eastAsia="Times New Roman" w:cs="Times New Roman"/>
                <w:color w:val="000000"/>
                <w:sz w:val="16"/>
                <w:szCs w:val="16"/>
                <w:lang w:val="vi-VN"/>
              </w:rPr>
              <w:br/>
              <w:t>- Lưu: Văn thư, KTTH (2).</w:t>
            </w:r>
          </w:p>
        </w:tc>
        <w:tc>
          <w:tcPr>
            <w:tcW w:w="4428" w:type="dxa"/>
            <w:shd w:val="clear" w:color="auto" w:fill="FFFFFF"/>
            <w:tcMar>
              <w:top w:w="0" w:type="dxa"/>
              <w:left w:w="108" w:type="dxa"/>
              <w:bottom w:w="0" w:type="dxa"/>
              <w:right w:w="108" w:type="dxa"/>
            </w:tcMar>
            <w:hideMark/>
          </w:tcPr>
          <w:p w:rsidR="00DF6599" w:rsidRPr="00DF6599" w:rsidRDefault="00DF6599" w:rsidP="00DF6599">
            <w:pPr>
              <w:spacing w:before="120" w:after="120" w:line="234" w:lineRule="atLeast"/>
              <w:jc w:val="center"/>
              <w:rPr>
                <w:rFonts w:eastAsia="Times New Roman" w:cs="Times New Roman"/>
                <w:color w:val="000000"/>
                <w:sz w:val="18"/>
                <w:szCs w:val="18"/>
              </w:rPr>
            </w:pPr>
            <w:r w:rsidRPr="00DF6599">
              <w:rPr>
                <w:rFonts w:eastAsia="Times New Roman" w:cs="Times New Roman"/>
                <w:b/>
                <w:bCs/>
                <w:color w:val="000000"/>
                <w:sz w:val="18"/>
                <w:szCs w:val="18"/>
                <w:lang w:val="vi-VN"/>
              </w:rPr>
              <w:t>KT. THỦ TƯỚNG</w:t>
            </w:r>
            <w:r w:rsidRPr="00DF6599">
              <w:rPr>
                <w:rFonts w:eastAsia="Times New Roman" w:cs="Times New Roman"/>
                <w:b/>
                <w:bCs/>
                <w:color w:val="000000"/>
                <w:sz w:val="18"/>
                <w:szCs w:val="18"/>
                <w:lang w:val="vi-VN"/>
              </w:rPr>
              <w:br/>
              <w:t>PHÓ THỦ TƯỚNG</w:t>
            </w:r>
            <w:r w:rsidRPr="00DF6599">
              <w:rPr>
                <w:rFonts w:eastAsia="Times New Roman" w:cs="Times New Roman"/>
                <w:b/>
                <w:bCs/>
                <w:color w:val="000000"/>
                <w:sz w:val="18"/>
                <w:szCs w:val="18"/>
                <w:lang w:val="vi-VN"/>
              </w:rPr>
              <w:br/>
            </w:r>
            <w:r w:rsidRPr="00DF6599">
              <w:rPr>
                <w:rFonts w:eastAsia="Times New Roman" w:cs="Times New Roman"/>
                <w:b/>
                <w:bCs/>
                <w:color w:val="000000"/>
                <w:sz w:val="18"/>
                <w:szCs w:val="18"/>
                <w:lang w:val="vi-VN"/>
              </w:rPr>
              <w:br/>
            </w:r>
            <w:r w:rsidRPr="00DF6599">
              <w:rPr>
                <w:rFonts w:eastAsia="Times New Roman" w:cs="Times New Roman"/>
                <w:b/>
                <w:bCs/>
                <w:color w:val="000000"/>
                <w:sz w:val="18"/>
                <w:szCs w:val="18"/>
                <w:lang w:val="vi-VN"/>
              </w:rPr>
              <w:br/>
            </w:r>
            <w:r w:rsidRPr="00DF6599">
              <w:rPr>
                <w:rFonts w:eastAsia="Times New Roman" w:cs="Times New Roman"/>
                <w:b/>
                <w:bCs/>
                <w:color w:val="000000"/>
                <w:sz w:val="18"/>
                <w:szCs w:val="18"/>
              </w:rPr>
              <w:t>(Đã ký)</w:t>
            </w:r>
            <w:r w:rsidRPr="00DF6599">
              <w:rPr>
                <w:rFonts w:eastAsia="Times New Roman" w:cs="Times New Roman"/>
                <w:b/>
                <w:bCs/>
                <w:color w:val="000000"/>
                <w:sz w:val="18"/>
                <w:szCs w:val="18"/>
                <w:lang w:val="vi-VN"/>
              </w:rPr>
              <w:br/>
            </w:r>
            <w:r w:rsidRPr="00DF6599">
              <w:rPr>
                <w:rFonts w:eastAsia="Times New Roman" w:cs="Times New Roman"/>
                <w:b/>
                <w:bCs/>
                <w:color w:val="000000"/>
                <w:sz w:val="18"/>
                <w:szCs w:val="18"/>
                <w:lang w:val="vi-VN"/>
              </w:rPr>
              <w:br/>
              <w:t>Lê Minh Khái</w:t>
            </w:r>
          </w:p>
        </w:tc>
      </w:tr>
    </w:tbl>
    <w:p w:rsidR="00DF6599" w:rsidRPr="00DF6599" w:rsidRDefault="00DF6599" w:rsidP="00DF6599">
      <w:pPr>
        <w:shd w:val="clear" w:color="auto" w:fill="FFFFFF"/>
        <w:spacing w:before="120" w:after="120" w:line="234" w:lineRule="atLeast"/>
        <w:rPr>
          <w:rFonts w:ascii="Arial" w:eastAsia="Times New Roman" w:hAnsi="Arial" w:cs="Arial"/>
          <w:color w:val="000000"/>
          <w:sz w:val="18"/>
          <w:szCs w:val="18"/>
        </w:rPr>
      </w:pPr>
      <w:r w:rsidRPr="00DF6599">
        <w:rPr>
          <w:rFonts w:ascii="Arial" w:eastAsia="Times New Roman" w:hAnsi="Arial" w:cs="Arial"/>
          <w:b/>
          <w:bCs/>
          <w:color w:val="000000"/>
          <w:sz w:val="18"/>
          <w:szCs w:val="18"/>
        </w:rPr>
        <w:t> </w:t>
      </w:r>
    </w:p>
    <w:p w:rsidR="005D5BD6" w:rsidRDefault="005D5BD6"/>
    <w:sectPr w:rsidR="005D5BD6" w:rsidSect="00354257">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599"/>
    <w:rsid w:val="00354257"/>
    <w:rsid w:val="005D5BD6"/>
    <w:rsid w:val="00DF65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2CB98"/>
  <w15:chartTrackingRefBased/>
  <w15:docId w15:val="{13E56ABA-C880-442B-979D-C6BC1696A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F6599"/>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DF65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3724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thuvienphapluat.vn/van-ban/dau-tu/nghi-dinh-40-2020-nd-cp-huong-dan-luat-dau-tu-cong-426374.aspx" TargetMode="External"/><Relationship Id="rId4" Type="http://schemas.openxmlformats.org/officeDocument/2006/relationships/hyperlink" Target="https://thuvienphapluat.vn/van-ban/tai-chinh-nha-nuoc/quyet-dinh-26-2020-qd-ttg-huong-dan-nghi-quyet-973-2020-ubtvqh14-phan-bo-von-dau-tu-cong-452690.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1806</Words>
  <Characters>10295</Characters>
  <Application>Microsoft Office Word</Application>
  <DocSecurity>0</DocSecurity>
  <Lines>85</Lines>
  <Paragraphs>24</Paragraphs>
  <ScaleCrop>false</ScaleCrop>
  <Company/>
  <LinksUpToDate>false</LinksUpToDate>
  <CharactersWithSpaces>12077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2021-11-10T03:53:00Z</dcterms:created>
  <dcterms:modified xsi:type="dcterms:W3CDTF">2021-11-10T03:55:00Z</dcterms:modified>
</cp:coreProperties>
</file>